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Nom 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nl-NL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nom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Adresse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4590 Ouffet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Mail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Num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nl-NL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ro de 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nl-NL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nl-NL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phone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Administration communale d'Ouffet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Rue de l'Eglise 3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4590 Ouffet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l'attention du Coll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ge communal d'Ouffet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Ouffet, le </w:t>
      </w:r>
      <w:r>
        <w:rPr>
          <w:rFonts w:ascii="Times New Roman" w:hAnsi="Times New Roman"/>
          <w:sz w:val="24"/>
          <w:szCs w:val="24"/>
          <w:rtl w:val="0"/>
          <w:lang w:val="nl-NL"/>
        </w:rPr>
        <w:t>8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juin 2026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Objet : 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clamation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l'encontre de la demande de renouvellement du permis d'environnement de classe 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Porcherie Stassart (Himbe Agricole)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Rue de Petit Ouffet, 4590 Ouffet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f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rence dossier : 2026/CL2/STASSART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DPA : 10024446/MBE.gpo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Madame la Bourgmestre, </w:t>
      </w:r>
      <w:r>
        <w:rPr>
          <w:rFonts w:ascii="Times New Roman" w:hAnsi="Times New Roman"/>
          <w:sz w:val="24"/>
          <w:szCs w:val="24"/>
          <w:rtl w:val="0"/>
          <w:lang w:val="nl-NL"/>
        </w:rPr>
        <w:t xml:space="preserve">Madame et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Messieurs les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chevins,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Dans le cadre de l'enqu</w:t>
      </w:r>
      <w:r>
        <w:rPr>
          <w:rFonts w:ascii="Times New Roman" w:hAnsi="Times New Roman" w:hint="default"/>
          <w:sz w:val="24"/>
          <w:szCs w:val="24"/>
          <w:rtl w:val="0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te publique relative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la demande de renouvellement du permis d'environnement de classe 2 introduite par M. Stassart (exploitation sous l'enseigne Himbe Agricole) pour une porcherie sise rue de Petit Ouffet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4590 Ouffet, j'ai l'honneur de formuler la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it-IT"/>
        </w:rPr>
        <w:t>sente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clamation conform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ment aux dispositions du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cret du 11 mars 1999 relatif au permis d'environnement et de ses arr</w:t>
      </w:r>
      <w:r>
        <w:rPr>
          <w:rFonts w:ascii="Times New Roman" w:hAnsi="Times New Roman" w:hint="default"/>
          <w:sz w:val="24"/>
          <w:szCs w:val="24"/>
          <w:rtl w:val="0"/>
        </w:rPr>
        <w:t>ê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d'ex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it-IT"/>
        </w:rPr>
        <w:t>cution.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La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it-IT"/>
        </w:rPr>
        <w:t>sente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clamation est fond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sur les moyens suivants :</w:t>
      </w:r>
    </w:p>
    <w:p>
      <w:pPr>
        <w:pStyle w:val="Titre 2"/>
        <w:spacing w:before="240" w:after="24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 xml:space="preserve">I. Non-respect des conditions du permis d'urbanisme en vigueur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nuisances olfactives</w:t>
      </w:r>
    </w:p>
    <w:p>
      <w:pPr>
        <w:pStyle w:val="Titre 2"/>
        <w:spacing w:before="240" w:after="240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L'article 19 du permis d'urbanisme applicable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l'exploitation impose que les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missions d'odeurs provenant de la porcherie et de ses installations annexes ne puissent constituer une source de nuisances pour le voisinage. Cet article prescrit notamment soit l'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vacuation de l'air vici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 des chemin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plac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en fa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 du b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timent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hauteur minimale de 10 m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tres, soit le traitement de l'air par filtration (charbon actif) ou par d'autres proc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quivalents.</w:t>
      </w:r>
    </w:p>
    <w:p>
      <w:pPr>
        <w:pStyle w:val="Titre 2"/>
        <w:spacing w:before="240" w:after="240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Or, il est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tabli que les chemin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d'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vacuation existantes sont situ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moins de 7 m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tres du sol, en violation manifeste de cette exigence minimale. Aucun syst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de lavage ou de filtration de l'air n'est par ailleurs install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Titre 2"/>
        <w:spacing w:before="240" w:after="240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itre 2"/>
        <w:spacing w:before="240" w:after="240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Cette situation g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des nuisances olfactives r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guli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res et significatives pour les riverains de Petit Ouffet et de Xhenceval, d'autant que l'exploitation recourt au mode d'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levage sur lisier, intrins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quement plus odorant que l'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levage sur paille. Ces nuisances ont donn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lieu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proc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dure judiciaire au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cour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de laquelle le magistrat saisi a pu personnellement constater leur r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alit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lors d'une visite sur place.</w:t>
      </w:r>
    </w:p>
    <w:p>
      <w:pPr>
        <w:pStyle w:val="Titre 2"/>
        <w:spacing w:before="240" w:after="240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renouvellement du permis ne pourra d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lors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tre accord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qu'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condition expresse que l'exploitant se mette en conformit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avec les prescriptions de l'article 19 du permis d'urbanisme, notamment par l'installation d'un syst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de lavage d'air.</w:t>
      </w:r>
    </w:p>
    <w:p>
      <w:pPr>
        <w:pStyle w:val="Titre 2"/>
        <w:spacing w:before="240" w:after="24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II. Qualification juridique de l'activit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: une activit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para-agricole incompatible avec la zone agricole</w:t>
      </w:r>
    </w:p>
    <w:p>
      <w:pPr>
        <w:pStyle w:val="Titre 2"/>
        <w:spacing w:before="240" w:after="240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Le Code wallon du D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veloppement Territorial (CoDT) r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serve la zone agricole aux activit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qui participent directement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mise en valeur du sol agricole. Une activit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d'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levage n'est compatible avec cette affectation que si elle s'inscrit dans un cycle agricole int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gr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: utilisation de ressources propres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l'exploitation (fourrages, c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ales, paille), production de fumure organique valoris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sur les terres de la ferme, et lien fonctionnel entre l'atelier d'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levage et l'exploitation agricole dans son ensemble.</w:t>
      </w:r>
    </w:p>
    <w:p>
      <w:pPr>
        <w:pStyle w:val="Titre 2"/>
        <w:spacing w:before="240" w:after="240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Or, l'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levage exploit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par Himbe Agricole est un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levage dit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«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en int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gration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: il fonctionne dans le cadre d'un contrat liant l'exploitant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un int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grateur industriel qui fournit les animaux, les aliments et fixe les conditions de production. Aucune ressource agricole propre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ferme Stassart n'entre dans le cycle d'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levage : ni c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ales, ni paille produite sur l'exploitation. Les animaux sont livr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et repris par camion. L'alimentation provient exclusivement de l'ext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rieur. En somme, la porcherie fonctionne comme une unit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industrielle de prestation de service pour le compte d'un tiers, d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tach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de toute logique agronomique propre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l'exploitation.</w:t>
      </w:r>
    </w:p>
    <w:p>
      <w:pPr>
        <w:pStyle w:val="Titre 2"/>
        <w:spacing w:before="240" w:after="240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seul lien invocable avec la ferme est l'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pandage du lisier sur certaines parcelles agricoles de l'exploitation. Ce lien est cependant insuffisant pour qualifier l'activit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d'agricole au sens du CoDT : l'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pandage de lisier constitue une op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ration de gestion de d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chets organiques, non une int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gration dans un cycle de production agricole. Par ailleurs, les contraintes r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glementaires croissantes pesant sur l'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pandage en zone de pr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vention de captage sont susceptibles de r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duire progressivement, voire de supprimer, cette possibilit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d'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pandage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terme, ce qui ferait dispara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le dernier lien r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siduel avec l'activit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agricole.</w:t>
      </w:r>
    </w:p>
    <w:p>
      <w:pPr>
        <w:pStyle w:val="Titre 2"/>
        <w:spacing w:before="240" w:after="240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convient d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lors de qualifier cette activit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para-agricole au sens du CoDT : une activit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li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au secteur agricole mais ne s'inscrivant pas dans la mise en valeur directe du sol de l'exploitation. Une telle activit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ne peut pas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autoris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en zone agricole au plan de secteur. Le permis d'environnement sollicit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repose donc sur un permis d'urbanisme dont la l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galit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est sujette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caution au regard des r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gles d'affectation du sol. Il y a lieu, d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lors, de refuser le renouvellement du permis d'environnement et,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tout le moins, de soumettre la question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l'avis du fonctionnaire d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gu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comp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tent en mati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d'urbanisme.</w:t>
      </w:r>
    </w:p>
    <w:p>
      <w:pPr>
        <w:pStyle w:val="Titre 2"/>
        <w:spacing w:before="240" w:after="240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fr-FR"/>
        </w:rPr>
        <w:t>Le raisonnement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velopp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ci-avant n'est pas isol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: il s'appuie sur une position administrative constante de la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n-US"/>
        </w:rPr>
        <w:t>gion wallonne elle-m</w:t>
      </w:r>
      <w:r>
        <w:rPr>
          <w:rFonts w:ascii="Times Roman" w:hAnsi="Times Roman" w:hint="default"/>
          <w:rtl w:val="0"/>
        </w:rPr>
        <w:t>ê</w:t>
      </w:r>
      <w:r>
        <w:rPr>
          <w:rFonts w:ascii="Times Roman" w:hAnsi="Times Roman"/>
          <w:rtl w:val="0"/>
          <w:lang w:val="fr-FR"/>
        </w:rPr>
        <w:t>me. Dans l'affaire de la porcherie de Ronqui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res (commune de Braine-le-Comte), le Gouvernement wallon a, d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it-IT"/>
        </w:rPr>
        <w:t>s mai 2018, qualifi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un projet de porcherie d'engraissement de 1 800 porcs d'activit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para-agricole, estimant qu'une telle activit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cessiterait une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rogation au plan de secteur pour </w:t>
      </w:r>
      <w:r>
        <w:rPr>
          <w:rFonts w:ascii="Times Roman" w:hAnsi="Times Roman" w:hint="default"/>
          <w:rtl w:val="0"/>
        </w:rPr>
        <w:t>ê</w:t>
      </w:r>
      <w:r>
        <w:rPr>
          <w:rFonts w:ascii="Times Roman" w:hAnsi="Times Roman"/>
          <w:rtl w:val="0"/>
          <w:lang w:val="fr-FR"/>
        </w:rPr>
        <w:t>tre autoris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e en zone agricole. Cette position a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pt-PT"/>
        </w:rPr>
        <w:t>confirm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 xml:space="preserve">e 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fr-FR"/>
        </w:rPr>
        <w:t>deux reprises par le fonctionnaire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gu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, puis par le Gouvernement wallon lui-m</w:t>
      </w:r>
      <w:r>
        <w:rPr>
          <w:rFonts w:ascii="Times Roman" w:hAnsi="Times Roman" w:hint="default"/>
          <w:rtl w:val="0"/>
        </w:rPr>
        <w:t>ê</w:t>
      </w:r>
      <w:r>
        <w:rPr>
          <w:rFonts w:ascii="Times Roman" w:hAnsi="Times Roman"/>
          <w:rtl w:val="0"/>
          <w:lang w:val="fr-FR"/>
        </w:rPr>
        <w:t>me en mai 2020 lors du rejet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finitif du recours. Le fonctionnaire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gu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avait express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ment retenu que le type d'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levage en cause relevait d'un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levage industriel et non d'une agriculture durable en lien direct avec le sol et le territoire, au sens du CoDT. La situation de la porcherie Stassart </w:t>
      </w:r>
      <w:r>
        <w:rPr>
          <w:rFonts w:ascii="Times Roman" w:hAnsi="Times Roman" w:hint="default"/>
          <w:rtl w:val="0"/>
          <w:lang w:val="fr-FR"/>
        </w:rPr>
        <w:t>— é</w:t>
      </w:r>
      <w:r>
        <w:rPr>
          <w:rFonts w:ascii="Times Roman" w:hAnsi="Times Roman"/>
          <w:rtl w:val="0"/>
          <w:lang w:val="da-DK"/>
        </w:rPr>
        <w:t>levage en 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gration, sans ressource agricole propre, sans lien fonctionnel avec le sol de l'exploitation </w:t>
      </w:r>
      <w:r>
        <w:rPr>
          <w:rFonts w:ascii="Times Roman" w:hAnsi="Times Roman" w:hint="default"/>
          <w:rtl w:val="0"/>
          <w:lang w:val="en-US"/>
        </w:rPr>
        <w:t xml:space="preserve">— </w:t>
      </w:r>
      <w:r>
        <w:rPr>
          <w:rFonts w:ascii="Times Roman" w:hAnsi="Times Roman"/>
          <w:rtl w:val="0"/>
          <w:lang w:val="fr-FR"/>
        </w:rPr>
        <w:t xml:space="preserve">est en tous points comparable 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fr-FR"/>
        </w:rPr>
        <w:t>celle qui a justifi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ces refus successifs. Il y a donc lieu de faire application de la m</w:t>
      </w:r>
      <w:r>
        <w:rPr>
          <w:rFonts w:ascii="Times Roman" w:hAnsi="Times Roman" w:hint="default"/>
          <w:rtl w:val="0"/>
        </w:rPr>
        <w:t>ê</w:t>
      </w:r>
      <w:r>
        <w:rPr>
          <w:rFonts w:ascii="Times Roman" w:hAnsi="Times Roman"/>
          <w:rtl w:val="0"/>
          <w:lang w:val="fr-FR"/>
        </w:rPr>
        <w:t>me qualification et d'en tirer les m</w:t>
      </w:r>
      <w:r>
        <w:rPr>
          <w:rFonts w:ascii="Times Roman" w:hAnsi="Times Roman" w:hint="default"/>
          <w:rtl w:val="0"/>
        </w:rPr>
        <w:t>ê</w:t>
      </w:r>
      <w:r>
        <w:rPr>
          <w:rFonts w:ascii="Times Roman" w:hAnsi="Times Roman"/>
          <w:rtl w:val="0"/>
          <w:lang w:val="fr-FR"/>
        </w:rPr>
        <w:t>mes cons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quences juridiques.</w:t>
      </w:r>
    </w:p>
    <w:p>
      <w:pPr>
        <w:pStyle w:val="Titre 2"/>
        <w:spacing w:before="240" w:after="240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titre subsidiaire, si un permis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tait n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anmoins accord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l'exportation croissante du lisier hors de la zone de protection de captage entra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nerait un charroi de camions-citernes suppl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mentaire significatif, incompatible avec la situation de voirie existante et les nuisances d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nonc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par les riverains (cf. point IV ci-dessous).</w:t>
      </w:r>
    </w:p>
    <w:p>
      <w:pPr>
        <w:pStyle w:val="Titre 2"/>
        <w:spacing w:before="240" w:after="24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III. Risques environnementaux : protection des captages d'eau potable</w:t>
      </w:r>
    </w:p>
    <w:p>
      <w:pPr>
        <w:pStyle w:val="Titre 2"/>
        <w:spacing w:before="240" w:after="240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fosse de stockage de lisier est implant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proximit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imm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diate d'axes de concentration des eaux de ruissellement qui se raccordent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une zone de pr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vention rapproch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de captage d'eau potable. Tout incident sur la structure de la cuve (fissure, d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faillance d'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tanch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) est susceptible de provoquer une contamination directe de ces zones de pr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vention, avec les cons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quences irr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versibles que cela implique pour la ressource en eau potable.</w:t>
      </w:r>
    </w:p>
    <w:p>
      <w:pPr>
        <w:pStyle w:val="Titre 2"/>
        <w:spacing w:before="240" w:after="240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Je sollicite que l'administration v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rifie si la fosse de stockage a fait l'objet d'une d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claration r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guli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et si elle b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ficie d'une zone de protection conforme aux exigences l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gales, et, le cas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ch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ant, que des garanties suffisantes d'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tanch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soient impos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comme condition particuli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re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tout renouvellement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ventuel.</w:t>
      </w:r>
    </w:p>
    <w:p>
      <w:pPr>
        <w:pStyle w:val="Titre 2"/>
        <w:spacing w:before="240" w:after="24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IV. Nuisances li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es au charroi</w:t>
      </w:r>
    </w:p>
    <w:p>
      <w:pPr>
        <w:pStyle w:val="Titre 2"/>
        <w:spacing w:before="240" w:after="240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demande de renouvellement affirme que le charroi g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 l'exploitation est limit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Cette affirmation est inexacte. L'activit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entra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 r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guli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rement :</w:t>
      </w:r>
    </w:p>
    <w:p>
      <w:pPr>
        <w:pStyle w:val="List Paragraph"/>
        <w:numPr>
          <w:ilvl w:val="0"/>
          <w:numId w:val="2"/>
        </w:numPr>
        <w:spacing w:before="240" w:after="240"/>
        <w:jc w:val="both"/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>des livraisons de camions d'aliments pour le remplissage des silos ;</w:t>
      </w:r>
    </w:p>
    <w:p>
      <w:pPr>
        <w:pStyle w:val="List Paragraph"/>
        <w:numPr>
          <w:ilvl w:val="0"/>
          <w:numId w:val="2"/>
        </w:numPr>
        <w:spacing w:before="240" w:after="240"/>
        <w:jc w:val="both"/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 xml:space="preserve">des transports de porcs vivants par camions </w:t>
      </w:r>
      <w:r>
        <w:rPr>
          <w:sz w:val="24"/>
          <w:szCs w:val="24"/>
          <w:rtl w:val="0"/>
        </w:rPr>
        <w:t xml:space="preserve">à </w:t>
      </w:r>
      <w:r>
        <w:rPr>
          <w:sz w:val="24"/>
          <w:szCs w:val="24"/>
          <w:rtl w:val="0"/>
          <w:lang w:val="it-IT"/>
        </w:rPr>
        <w:t>l'arriv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e et au d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part de l'exploitation ;</w:t>
      </w:r>
    </w:p>
    <w:p>
      <w:pPr>
        <w:pStyle w:val="List Paragraph"/>
        <w:numPr>
          <w:ilvl w:val="0"/>
          <w:numId w:val="2"/>
        </w:numPr>
        <w:spacing w:before="240" w:after="240"/>
        <w:jc w:val="both"/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>des enl</w:t>
      </w:r>
      <w:r>
        <w:rPr>
          <w:sz w:val="24"/>
          <w:szCs w:val="24"/>
          <w:rtl w:val="0"/>
          <w:lang w:val="it-IT"/>
        </w:rPr>
        <w:t>è</w:t>
      </w:r>
      <w:r>
        <w:rPr>
          <w:sz w:val="24"/>
          <w:szCs w:val="24"/>
          <w:rtl w:val="0"/>
          <w:lang w:val="fr-FR"/>
        </w:rPr>
        <w:t>vements de cadavres d'animaux par v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hicules sp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cialis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s </w:t>
      </w:r>
      <w:r>
        <w:rPr>
          <w:sz w:val="24"/>
          <w:szCs w:val="24"/>
          <w:rtl w:val="0"/>
          <w:lang w:val="nl-NL"/>
        </w:rPr>
        <w:t>(deux fois par semaine)</w:t>
      </w:r>
      <w:r>
        <w:rPr>
          <w:sz w:val="24"/>
          <w:szCs w:val="24"/>
          <w:rtl w:val="0"/>
        </w:rPr>
        <w:t>;</w:t>
      </w:r>
    </w:p>
    <w:p>
      <w:pPr>
        <w:pStyle w:val="List Paragraph"/>
        <w:numPr>
          <w:ilvl w:val="0"/>
          <w:numId w:val="2"/>
        </w:numPr>
        <w:spacing w:before="240" w:after="240"/>
        <w:jc w:val="both"/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>des flux de v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 xml:space="preserve">hicules agricoles et de chantier propres </w:t>
      </w:r>
      <w:r>
        <w:rPr>
          <w:sz w:val="24"/>
          <w:szCs w:val="24"/>
          <w:rtl w:val="0"/>
        </w:rPr>
        <w:t xml:space="preserve">à </w:t>
      </w:r>
      <w:r>
        <w:rPr>
          <w:sz w:val="24"/>
          <w:szCs w:val="24"/>
          <w:rtl w:val="0"/>
          <w:lang w:val="fr-FR"/>
        </w:rPr>
        <w:t>l'activit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g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 xml:space="preserve">rale de l'exploitation </w:t>
      </w:r>
      <w:r>
        <w:rPr>
          <w:sz w:val="24"/>
          <w:szCs w:val="24"/>
          <w:rtl w:val="0"/>
          <w:lang w:val="nl-NL"/>
        </w:rPr>
        <w:t>Himbe Agricole;</w:t>
      </w:r>
    </w:p>
    <w:p>
      <w:pPr>
        <w:pStyle w:val="List Paragraph"/>
        <w:numPr>
          <w:ilvl w:val="0"/>
          <w:numId w:val="2"/>
        </w:numPr>
        <w:spacing w:before="240" w:after="240"/>
        <w:jc w:val="both"/>
        <w:rPr>
          <w:sz w:val="24"/>
          <w:szCs w:val="24"/>
          <w:lang w:val="nl-NL"/>
        </w:rPr>
      </w:pPr>
      <w:r>
        <w:rPr>
          <w:sz w:val="24"/>
          <w:szCs w:val="24"/>
          <w:rtl w:val="0"/>
          <w:lang w:val="nl-NL"/>
        </w:rPr>
        <w:t xml:space="preserve">des transports de lisier par camions et tracteurs lors des </w:t>
      </w:r>
      <w:r>
        <w:rPr>
          <w:sz w:val="24"/>
          <w:szCs w:val="24"/>
          <w:rtl w:val="0"/>
          <w:lang w:val="nl-NL"/>
        </w:rPr>
        <w:t>é</w:t>
      </w:r>
      <w:r>
        <w:rPr>
          <w:sz w:val="24"/>
          <w:szCs w:val="24"/>
          <w:rtl w:val="0"/>
          <w:lang w:val="nl-NL"/>
        </w:rPr>
        <w:t>pandages.</w:t>
      </w:r>
    </w:p>
    <w:p>
      <w:pPr>
        <w:pStyle w:val="List Paragraph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 xml:space="preserve">Ce trafic intense sur des voiries locales 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 xml:space="preserve">troites a 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nonc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nl-NL"/>
        </w:rPr>
        <w:t>au coll</w:t>
      </w:r>
      <w:r>
        <w:rPr>
          <w:sz w:val="24"/>
          <w:szCs w:val="24"/>
          <w:rtl w:val="0"/>
          <w:lang w:val="nl-NL"/>
        </w:rPr>
        <w:t>è</w:t>
      </w:r>
      <w:r>
        <w:rPr>
          <w:sz w:val="24"/>
          <w:szCs w:val="24"/>
          <w:rtl w:val="0"/>
          <w:lang w:val="nl-NL"/>
        </w:rPr>
        <w:t xml:space="preserve">ge communal </w:t>
      </w:r>
      <w:r>
        <w:rPr>
          <w:sz w:val="24"/>
          <w:szCs w:val="24"/>
          <w:rtl w:val="0"/>
        </w:rPr>
        <w:t xml:space="preserve">à </w:t>
      </w:r>
      <w:r>
        <w:rPr>
          <w:sz w:val="24"/>
          <w:szCs w:val="24"/>
          <w:rtl w:val="0"/>
          <w:lang w:val="fr-FR"/>
        </w:rPr>
        <w:t>de nombreuses reprises par les riverains de Petit Ouffet, sans qu'une solution satisfaisante et p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 xml:space="preserve">renne n'ait 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fr-FR"/>
        </w:rPr>
        <w:t>apport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it-IT"/>
        </w:rPr>
        <w:t xml:space="preserve">e. </w:t>
      </w:r>
      <w:r>
        <w:rPr>
          <w:sz w:val="24"/>
          <w:szCs w:val="24"/>
          <w:rtl w:val="0"/>
          <w:lang w:val="nl-NL"/>
        </w:rPr>
        <w:t>L</w:t>
      </w:r>
      <w:r>
        <w:rPr>
          <w:sz w:val="24"/>
          <w:szCs w:val="24"/>
          <w:rtl w:val="0"/>
          <w:lang w:val="nl-NL"/>
        </w:rPr>
        <w:t>’é</w:t>
      </w:r>
      <w:r>
        <w:rPr>
          <w:sz w:val="24"/>
          <w:szCs w:val="24"/>
          <w:rtl w:val="0"/>
          <w:lang w:val="nl-NL"/>
        </w:rPr>
        <w:t>ventuel</w:t>
      </w:r>
      <w:r>
        <w:rPr>
          <w:sz w:val="24"/>
          <w:szCs w:val="24"/>
          <w:rtl w:val="0"/>
          <w:lang w:val="fr-FR"/>
        </w:rPr>
        <w:t xml:space="preserve"> maintien de l'activit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fr-FR"/>
        </w:rPr>
        <w:t xml:space="preserve">doit tenir compte de cet 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tat de fait et pr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 xml:space="preserve">voir des mesures contraignantes de gestion du charroi, dont le respect devra </w:t>
      </w:r>
      <w:r>
        <w:rPr>
          <w:sz w:val="24"/>
          <w:szCs w:val="24"/>
          <w:rtl w:val="0"/>
        </w:rPr>
        <w:t>ê</w:t>
      </w:r>
      <w:r>
        <w:rPr>
          <w:sz w:val="24"/>
          <w:szCs w:val="24"/>
          <w:rtl w:val="0"/>
          <w:lang w:val="fr-FR"/>
        </w:rPr>
        <w:t>tre assur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fr-FR"/>
        </w:rPr>
        <w:t>par des conditions particuli</w:t>
      </w:r>
      <w:r>
        <w:rPr>
          <w:sz w:val="24"/>
          <w:szCs w:val="24"/>
          <w:rtl w:val="0"/>
          <w:lang w:val="it-IT"/>
        </w:rPr>
        <w:t>è</w:t>
      </w:r>
      <w:r>
        <w:rPr>
          <w:sz w:val="24"/>
          <w:szCs w:val="24"/>
          <w:rtl w:val="0"/>
          <w:lang w:val="fr-FR"/>
        </w:rPr>
        <w:t>res du permis.</w:t>
      </w:r>
    </w:p>
    <w:p>
      <w:pPr>
        <w:pStyle w:val="Titre 2"/>
        <w:spacing w:before="240" w:after="24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V. Bien-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tre animal et adaptation au changement climatique</w:t>
      </w:r>
    </w:p>
    <w:p>
      <w:pPr>
        <w:pStyle w:val="Titre 2"/>
        <w:spacing w:before="240" w:after="240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Des observations concordantes font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tat d'une mortalit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animale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lev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durant les p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riodes de fortes chaleurs estivales. Le b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timent, expos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plein soleil et dot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d'une toiture basse,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semble g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rer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des temp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ratures internes extr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mes en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. Au regard des projections climatiques pour la Wallonie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—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qui pr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voient une intensification et une multiplication des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pisodes de chaleur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—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il est inacceptable de renouveler le permis d'exploiter sans imposer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l'exploitant la mise en place d'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quipements adapt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garantissant le bien-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des animaux conform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ment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r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glementation relative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protection des animaux d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levage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 (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 xml:space="preserve">l'article D.8 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§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1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 xml:space="preserve"> du Code wallon du Bien-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 xml:space="preserve">tre des animaux 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rtl w:val="0"/>
          <w:lang w:val="nl-NL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b w:val="0"/>
          <w:bCs w:val="0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cret du 4 octobre 2018)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Titre 2"/>
        <w:spacing w:before="240" w:after="24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VI. Int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gration paysag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re insuffisante</w:t>
      </w:r>
    </w:p>
    <w:p>
      <w:pPr>
        <w:pStyle w:val="Titre 2"/>
        <w:spacing w:before="240" w:after="240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L'installation ne respecte pas les exigences actuelles en mati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d'int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gration paysag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re, notamment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le manque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de haies et d'arbres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val="single" w:color="000000"/>
          <w:rtl w:val="0"/>
          <w:lang w:val="nl-NL"/>
          <w14:textFill>
            <w14:solidFill>
              <w14:srgbClr w14:val="000000"/>
            </w14:solidFill>
          </w14:textFill>
        </w:rPr>
        <w:t>indig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val="single" w:color="000000"/>
          <w:rtl w:val="0"/>
          <w14:textFill>
            <w14:solidFill>
              <w14:srgbClr w14:val="000000"/>
            </w14:solidFill>
          </w14:textFill>
        </w:rPr>
        <w:t>nes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en bordure du b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timent, pourtant requis par les bonnes pratiques et par les conditions habituelles de ce type de permis en zone agricole. Cette lacune contribue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 d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gradation du cadre de vie des riverains et des promeneurs fr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quentant les voiries communales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proximit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Titre 2"/>
        <w:spacing w:before="240" w:after="24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VII. Puits non d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clar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:lang w:val="it-IT"/>
          <w14:textFill>
            <w14:solidFill>
              <w14:srgbClr w14:val="000000"/>
            </w14:solidFill>
          </w14:textFill>
        </w:rPr>
        <w:t>, non autoris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et d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pourvu de zone de protection r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glementaire</w:t>
      </w:r>
    </w:p>
    <w:p>
      <w:pPr>
        <w:pStyle w:val="Titre 2"/>
        <w:spacing w:before="240" w:after="240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puits est situ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proximit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imm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diate de la porcherie. Selon les informations en ma possession, une autorisation avait certes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accord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en 2007 pour un forage en bord de route,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mais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le puits semble avoir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alis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emplacement diff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rent de celui indiqu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sur le plan joint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cette autorisation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—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vraisemblablement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l'arri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du b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timent de la porcherie.</w:t>
      </w:r>
    </w:p>
    <w:p>
      <w:pPr>
        <w:pStyle w:val="Titre 2"/>
        <w:spacing w:before="240" w:after="240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Cette situation cumule plusieurs irr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gularit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distinctes au regard du Code de l'Eau et de ses arr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d'ex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cution :</w:t>
      </w:r>
    </w:p>
    <w:p>
      <w:pPr>
        <w:pStyle w:val="List Paragraph"/>
        <w:numPr>
          <w:ilvl w:val="0"/>
          <w:numId w:val="2"/>
        </w:numPr>
        <w:spacing w:before="240" w:after="240"/>
        <w:jc w:val="both"/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>absence d'autorisation de prise d'eau en cours de validit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fr-FR"/>
        </w:rPr>
        <w:t>: le pr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  <w:lang w:val="it-IT"/>
        </w:rPr>
        <w:t>è</w:t>
      </w:r>
      <w:r>
        <w:rPr>
          <w:sz w:val="24"/>
          <w:szCs w:val="24"/>
          <w:rtl w:val="0"/>
          <w:lang w:val="fr-FR"/>
        </w:rPr>
        <w:t xml:space="preserve">vement d'eau souterraine est soumis </w:t>
      </w:r>
      <w:r>
        <w:rPr>
          <w:sz w:val="24"/>
          <w:szCs w:val="24"/>
          <w:rtl w:val="0"/>
        </w:rPr>
        <w:t xml:space="preserve">à </w:t>
      </w:r>
      <w:r>
        <w:rPr>
          <w:sz w:val="24"/>
          <w:szCs w:val="24"/>
          <w:rtl w:val="0"/>
          <w:lang w:val="fr-FR"/>
        </w:rPr>
        <w:t>autorisation pr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alable et toute modification de l'emplacement du forage par rapport au dossier autoris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fr-FR"/>
        </w:rPr>
        <w:t>constitue une infraction autonome ;</w:t>
      </w:r>
    </w:p>
    <w:p>
      <w:pPr>
        <w:pStyle w:val="List Paragraph"/>
        <w:numPr>
          <w:ilvl w:val="0"/>
          <w:numId w:val="2"/>
        </w:numPr>
        <w:spacing w:before="240" w:after="240"/>
        <w:jc w:val="both"/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>absence de zone de prise d'eau 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glementaire : la l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gislation impose, autour de tout ouvrage de captage, une zone de prise d'eau d'un rayon minimal de 10 m</w:t>
      </w:r>
      <w:r>
        <w:rPr>
          <w:sz w:val="24"/>
          <w:szCs w:val="24"/>
          <w:rtl w:val="0"/>
          <w:lang w:val="it-IT"/>
        </w:rPr>
        <w:t>è</w:t>
      </w:r>
      <w:r>
        <w:rPr>
          <w:sz w:val="24"/>
          <w:szCs w:val="24"/>
          <w:rtl w:val="0"/>
          <w:lang w:val="fr-FR"/>
        </w:rPr>
        <w:t>tres dans laquelle toute activit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fr-FR"/>
        </w:rPr>
        <w:t xml:space="preserve">est interdite </w:t>
      </w:r>
      <w:r>
        <w:rPr>
          <w:sz w:val="24"/>
          <w:szCs w:val="24"/>
          <w:rtl w:val="0"/>
        </w:rPr>
        <w:t xml:space="preserve">à </w:t>
      </w:r>
      <w:r>
        <w:rPr>
          <w:sz w:val="24"/>
          <w:szCs w:val="24"/>
          <w:rtl w:val="0"/>
          <w:lang w:val="fr-FR"/>
        </w:rPr>
        <w:t>l'exception du pompage. Or, cette zone n'est ni d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es-ES_tradnl"/>
        </w:rPr>
        <w:t>limit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e, ni mat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rialis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e sur le terrain ;</w:t>
      </w:r>
    </w:p>
    <w:p>
      <w:pPr>
        <w:pStyle w:val="List Paragraph"/>
        <w:numPr>
          <w:ilvl w:val="0"/>
          <w:numId w:val="2"/>
        </w:numPr>
        <w:spacing w:before="240" w:after="240"/>
        <w:jc w:val="both"/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>passage de pulv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risateurs dans la zone de protection : les orthophotoplans disponibles (mill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simes 2015, 2016 et 2020) 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  <w:lang w:val="it-IT"/>
        </w:rPr>
        <w:t>è</w:t>
      </w:r>
      <w:r>
        <w:rPr>
          <w:sz w:val="24"/>
          <w:szCs w:val="24"/>
          <w:rtl w:val="0"/>
          <w:lang w:val="fr-FR"/>
        </w:rPr>
        <w:t>lent distinctement des traces de passage de roues de pulv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 xml:space="preserve">risateur </w:t>
      </w:r>
      <w:r>
        <w:rPr>
          <w:sz w:val="24"/>
          <w:szCs w:val="24"/>
          <w:rtl w:val="0"/>
        </w:rPr>
        <w:t xml:space="preserve">à </w:t>
      </w:r>
      <w:r>
        <w:rPr>
          <w:sz w:val="24"/>
          <w:szCs w:val="24"/>
          <w:rtl w:val="0"/>
          <w:lang w:val="it-IT"/>
        </w:rPr>
        <w:t>l'int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rieur de ce p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rim</w:t>
      </w:r>
      <w:r>
        <w:rPr>
          <w:sz w:val="24"/>
          <w:szCs w:val="24"/>
          <w:rtl w:val="0"/>
          <w:lang w:val="it-IT"/>
        </w:rPr>
        <w:t>è</w:t>
      </w:r>
      <w:r>
        <w:rPr>
          <w:sz w:val="24"/>
          <w:szCs w:val="24"/>
          <w:rtl w:val="0"/>
          <w:lang w:val="fr-FR"/>
        </w:rPr>
        <w:t>tre de 10 m</w:t>
      </w:r>
      <w:r>
        <w:rPr>
          <w:sz w:val="24"/>
          <w:szCs w:val="24"/>
          <w:rtl w:val="0"/>
          <w:lang w:val="it-IT"/>
        </w:rPr>
        <w:t>è</w:t>
      </w:r>
      <w:r>
        <w:rPr>
          <w:sz w:val="24"/>
          <w:szCs w:val="24"/>
          <w:rtl w:val="0"/>
          <w:lang w:val="fr-FR"/>
        </w:rPr>
        <w:t>tres. Des observations 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centes (culture de pommes de terre) confirment que cette pratique se poursuit. L'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 xml:space="preserve">pandage de produits phytosanitaires </w:t>
      </w:r>
      <w:r>
        <w:rPr>
          <w:sz w:val="24"/>
          <w:szCs w:val="24"/>
          <w:rtl w:val="0"/>
        </w:rPr>
        <w:t xml:space="preserve">à </w:t>
      </w:r>
      <w:r>
        <w:rPr>
          <w:sz w:val="24"/>
          <w:szCs w:val="24"/>
          <w:rtl w:val="0"/>
          <w:lang w:val="it-IT"/>
        </w:rPr>
        <w:t>l'int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rieur de la zone de prise d'eau constitue un risque direct et s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rieux de contamination de la nappe capt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it-IT"/>
        </w:rPr>
        <w:t>e.</w:t>
      </w:r>
    </w:p>
    <w:p>
      <w:pPr>
        <w:pStyle w:val="List Paragraph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Ces manquements sont d'autant plus pr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 xml:space="preserve">occupants que le puits alimente vraisemblablement la porcherie en eau, et que toute pollution de la nappe </w:t>
      </w:r>
      <w:r>
        <w:rPr>
          <w:sz w:val="24"/>
          <w:szCs w:val="24"/>
          <w:rtl w:val="0"/>
        </w:rPr>
        <w:t xml:space="preserve">à </w:t>
      </w:r>
      <w:r>
        <w:rPr>
          <w:sz w:val="24"/>
          <w:szCs w:val="24"/>
          <w:rtl w:val="0"/>
          <w:lang w:val="fr-FR"/>
        </w:rPr>
        <w:t>cet endroit pourrait se propager vers les captages du 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blon.</w:t>
      </w:r>
    </w:p>
    <w:p>
      <w:pPr>
        <w:pStyle w:val="List Paragraph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Je sollicite que l'autorit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it-IT"/>
        </w:rPr>
        <w:t>comp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tente :</w:t>
      </w:r>
    </w:p>
    <w:p>
      <w:pPr>
        <w:pStyle w:val="List Paragraph"/>
        <w:numPr>
          <w:ilvl w:val="0"/>
          <w:numId w:val="2"/>
        </w:numPr>
        <w:spacing w:before="240" w:after="240"/>
        <w:jc w:val="both"/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>ordonne une inspection sur place du puits et de son environnement imm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 xml:space="preserve">diat par les services de la Direction des Eaux souterraines (SPW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de-DE"/>
        </w:rPr>
        <w:t>ARNE) ;</w:t>
      </w:r>
    </w:p>
    <w:p>
      <w:pPr>
        <w:pStyle w:val="List Paragraph"/>
        <w:numPr>
          <w:ilvl w:val="0"/>
          <w:numId w:val="2"/>
        </w:numPr>
        <w:spacing w:before="240" w:after="240"/>
        <w:jc w:val="both"/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>exige la 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gularisation compl</w:t>
      </w:r>
      <w:r>
        <w:rPr>
          <w:sz w:val="24"/>
          <w:szCs w:val="24"/>
          <w:rtl w:val="0"/>
          <w:lang w:val="it-IT"/>
        </w:rPr>
        <w:t>è</w:t>
      </w:r>
      <w:r>
        <w:rPr>
          <w:sz w:val="24"/>
          <w:szCs w:val="24"/>
          <w:rtl w:val="0"/>
          <w:lang w:val="fr-FR"/>
        </w:rPr>
        <w:t>te de la situation (autorisation, d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claration d'exploitation, d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limitation et mat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rialisation de la zone de prise d'eau) pr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 xml:space="preserve">alablement </w:t>
      </w:r>
      <w:r>
        <w:rPr>
          <w:sz w:val="24"/>
          <w:szCs w:val="24"/>
          <w:rtl w:val="0"/>
        </w:rPr>
        <w:t xml:space="preserve">à </w:t>
      </w:r>
      <w:r>
        <w:rPr>
          <w:sz w:val="24"/>
          <w:szCs w:val="24"/>
          <w:rtl w:val="0"/>
          <w:lang w:val="fr-FR"/>
        </w:rPr>
        <w:t>toute d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cision sur le renouvellement du permis d'environnement ;</w:t>
      </w:r>
    </w:p>
    <w:p>
      <w:pPr>
        <w:pStyle w:val="List Paragraph"/>
        <w:numPr>
          <w:ilvl w:val="0"/>
          <w:numId w:val="2"/>
        </w:numPr>
        <w:spacing w:before="240" w:after="240"/>
        <w:jc w:val="both"/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 xml:space="preserve">impose, </w:t>
      </w:r>
      <w:r>
        <w:rPr>
          <w:sz w:val="24"/>
          <w:szCs w:val="24"/>
          <w:rtl w:val="0"/>
        </w:rPr>
        <w:t xml:space="preserve">à </w:t>
      </w:r>
      <w:r>
        <w:rPr>
          <w:sz w:val="24"/>
          <w:szCs w:val="24"/>
          <w:rtl w:val="0"/>
          <w:lang w:val="fr-FR"/>
        </w:rPr>
        <w:t>titre de condition particuli</w:t>
      </w:r>
      <w:r>
        <w:rPr>
          <w:sz w:val="24"/>
          <w:szCs w:val="24"/>
          <w:rtl w:val="0"/>
          <w:lang w:val="it-IT"/>
        </w:rPr>
        <w:t>è</w:t>
      </w:r>
      <w:r>
        <w:rPr>
          <w:sz w:val="24"/>
          <w:szCs w:val="24"/>
          <w:rtl w:val="0"/>
          <w:lang w:val="fr-FR"/>
        </w:rPr>
        <w:t xml:space="preserve">re de tout permis 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 xml:space="preserve">ventuel, l'interdiction formelle de tout passage d'engins agricoles et de tout 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pandage de produits phytosanitaires ou fertilisants dans le p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rim</w:t>
      </w:r>
      <w:r>
        <w:rPr>
          <w:sz w:val="24"/>
          <w:szCs w:val="24"/>
          <w:rtl w:val="0"/>
          <w:lang w:val="it-IT"/>
        </w:rPr>
        <w:t>è</w:t>
      </w:r>
      <w:r>
        <w:rPr>
          <w:sz w:val="24"/>
          <w:szCs w:val="24"/>
          <w:rtl w:val="0"/>
          <w:lang w:val="fr-FR"/>
        </w:rPr>
        <w:t>tre de 10 m</w:t>
      </w:r>
      <w:r>
        <w:rPr>
          <w:sz w:val="24"/>
          <w:szCs w:val="24"/>
          <w:rtl w:val="0"/>
          <w:lang w:val="it-IT"/>
        </w:rPr>
        <w:t>è</w:t>
      </w:r>
      <w:r>
        <w:rPr>
          <w:sz w:val="24"/>
          <w:szCs w:val="24"/>
          <w:rtl w:val="0"/>
          <w:lang w:val="fr-FR"/>
        </w:rPr>
        <w:t>tres autour du puits.</w:t>
      </w:r>
    </w:p>
    <w:p>
      <w:pPr>
        <w:pStyle w:val="Titre 2"/>
        <w:spacing w:before="240" w:after="24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Conclusions</w:t>
      </w:r>
    </w:p>
    <w:p>
      <w:pPr>
        <w:pStyle w:val="Titre 2"/>
        <w:spacing w:before="240" w:after="240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Au regard de l'ensemble des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ments qui pr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dent, je vous invite </w:t>
      </w:r>
      <w:r>
        <w:rPr>
          <w:rStyle w:val="Aucun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List Paragraph"/>
        <w:numPr>
          <w:ilvl w:val="0"/>
          <w:numId w:val="2"/>
        </w:numPr>
        <w:spacing w:before="240" w:after="240"/>
        <w:jc w:val="both"/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>refuser le renouvellement du permis d'environnement en raison, d'une part, de la violation av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e des conditions du permis d'urbanisme en mati</w:t>
      </w:r>
      <w:r>
        <w:rPr>
          <w:sz w:val="24"/>
          <w:szCs w:val="24"/>
          <w:rtl w:val="0"/>
          <w:lang w:val="it-IT"/>
        </w:rPr>
        <w:t>è</w:t>
      </w:r>
      <w:r>
        <w:rPr>
          <w:sz w:val="24"/>
          <w:szCs w:val="24"/>
          <w:rtl w:val="0"/>
          <w:lang w:val="fr-FR"/>
        </w:rPr>
        <w:t>re de nuisances olfactives, d'autre part, de l'incompatibilit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fr-FR"/>
        </w:rPr>
        <w:t>de l'activit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fr-FR"/>
        </w:rPr>
        <w:t>d'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da-DK"/>
        </w:rPr>
        <w:t>levage en int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 xml:space="preserve">gration avec la destination de zone agricole au sens du CoDT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  <w:lang w:val="fr-FR"/>
        </w:rPr>
        <w:t>cette activit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fr-FR"/>
        </w:rPr>
        <w:t xml:space="preserve">devant </w:t>
      </w:r>
      <w:r>
        <w:rPr>
          <w:sz w:val="24"/>
          <w:szCs w:val="24"/>
          <w:rtl w:val="0"/>
        </w:rPr>
        <w:t>ê</w:t>
      </w:r>
      <w:r>
        <w:rPr>
          <w:sz w:val="24"/>
          <w:szCs w:val="24"/>
          <w:rtl w:val="0"/>
          <w:lang w:val="it-IT"/>
        </w:rPr>
        <w:t>tre qualifi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 xml:space="preserve">e de para-agricole </w:t>
      </w:r>
      <w:r>
        <w:rPr>
          <w:sz w:val="24"/>
          <w:szCs w:val="24"/>
          <w:rtl w:val="0"/>
          <w:lang w:val="en-US"/>
        </w:rPr>
        <w:t>—</w:t>
      </w:r>
      <w:r>
        <w:rPr>
          <w:sz w:val="24"/>
          <w:szCs w:val="24"/>
          <w:rtl w:val="0"/>
          <w:lang w:val="fr-FR"/>
        </w:rPr>
        <w:t>, et d'autre part encore, des irr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gularit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s graves li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es au puits non autoris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;</w:t>
      </w:r>
    </w:p>
    <w:p>
      <w:pPr>
        <w:pStyle w:val="List Paragraph"/>
        <w:numPr>
          <w:ilvl w:val="0"/>
          <w:numId w:val="2"/>
        </w:numPr>
        <w:spacing w:before="240" w:after="240"/>
        <w:jc w:val="both"/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 xml:space="preserve">subsidiairement, si un renouvellement 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tait accord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, d'y assortir des conditions particuli</w:t>
      </w:r>
      <w:r>
        <w:rPr>
          <w:sz w:val="24"/>
          <w:szCs w:val="24"/>
          <w:rtl w:val="0"/>
          <w:lang w:val="it-IT"/>
        </w:rPr>
        <w:t>è</w:t>
      </w:r>
      <w:r>
        <w:rPr>
          <w:sz w:val="24"/>
          <w:szCs w:val="24"/>
          <w:rtl w:val="0"/>
          <w:lang w:val="fr-FR"/>
        </w:rPr>
        <w:t>res strictes portant sur : (i) la mise en conformit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de-DE"/>
        </w:rPr>
        <w:t>imm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diate du syst</w:t>
      </w:r>
      <w:r>
        <w:rPr>
          <w:sz w:val="24"/>
          <w:szCs w:val="24"/>
          <w:rtl w:val="0"/>
          <w:lang w:val="it-IT"/>
        </w:rPr>
        <w:t>è</w:t>
      </w:r>
      <w:r>
        <w:rPr>
          <w:sz w:val="24"/>
          <w:szCs w:val="24"/>
          <w:rtl w:val="0"/>
          <w:lang w:val="fr-FR"/>
        </w:rPr>
        <w:t>me de ventilation (filtration de l'air), (ii) la gestion du charroi, (iii) la garantie d'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it-IT"/>
        </w:rPr>
        <w:t>tanch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it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it-IT"/>
        </w:rPr>
        <w:t xml:space="preserve">de la fosse </w:t>
      </w:r>
      <w:r>
        <w:rPr>
          <w:sz w:val="24"/>
          <w:szCs w:val="24"/>
          <w:rtl w:val="0"/>
        </w:rPr>
        <w:t xml:space="preserve">à </w:t>
      </w:r>
      <w:r>
        <w:rPr>
          <w:sz w:val="24"/>
          <w:szCs w:val="24"/>
          <w:rtl w:val="0"/>
          <w:lang w:val="de-DE"/>
        </w:rPr>
        <w:t>lisier, (iv) l'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quipement du b</w:t>
      </w:r>
      <w:r>
        <w:rPr>
          <w:sz w:val="24"/>
          <w:szCs w:val="24"/>
          <w:rtl w:val="0"/>
        </w:rPr>
        <w:t>â</w:t>
      </w:r>
      <w:r>
        <w:rPr>
          <w:sz w:val="24"/>
          <w:szCs w:val="24"/>
          <w:rtl w:val="0"/>
          <w:lang w:val="fr-FR"/>
        </w:rPr>
        <w:t>timent pour le bien-</w:t>
      </w:r>
      <w:r>
        <w:rPr>
          <w:sz w:val="24"/>
          <w:szCs w:val="24"/>
          <w:rtl w:val="0"/>
        </w:rPr>
        <w:t>ê</w:t>
      </w:r>
      <w:r>
        <w:rPr>
          <w:sz w:val="24"/>
          <w:szCs w:val="24"/>
          <w:rtl w:val="0"/>
          <w:lang w:val="es-ES_tradnl"/>
        </w:rPr>
        <w:t>tre animal en p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riode de chaleur, (v) l'int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gration paysag</w:t>
      </w:r>
      <w:r>
        <w:rPr>
          <w:sz w:val="24"/>
          <w:szCs w:val="24"/>
          <w:rtl w:val="0"/>
          <w:lang w:val="it-IT"/>
        </w:rPr>
        <w:t>è</w:t>
      </w:r>
      <w:r>
        <w:rPr>
          <w:sz w:val="24"/>
          <w:szCs w:val="24"/>
          <w:rtl w:val="0"/>
          <w:lang w:val="fr-FR"/>
        </w:rPr>
        <w:t>re, et (vi) la 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gularisation compl</w:t>
      </w:r>
      <w:r>
        <w:rPr>
          <w:sz w:val="24"/>
          <w:szCs w:val="24"/>
          <w:rtl w:val="0"/>
          <w:lang w:val="it-IT"/>
        </w:rPr>
        <w:t>è</w:t>
      </w:r>
      <w:r>
        <w:rPr>
          <w:sz w:val="24"/>
          <w:szCs w:val="24"/>
          <w:rtl w:val="0"/>
          <w:lang w:val="fr-FR"/>
        </w:rPr>
        <w:t>te du puits avec d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limitation et respect de la zone de prise d'eau ;</w:t>
      </w:r>
    </w:p>
    <w:p>
      <w:pPr>
        <w:pStyle w:val="List Paragraph"/>
        <w:numPr>
          <w:ilvl w:val="0"/>
          <w:numId w:val="2"/>
        </w:numPr>
        <w:spacing w:before="240" w:after="240"/>
        <w:jc w:val="both"/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>solliciter une visite de contr</w:t>
      </w:r>
      <w:r>
        <w:rPr>
          <w:sz w:val="24"/>
          <w:szCs w:val="24"/>
          <w:rtl w:val="0"/>
        </w:rPr>
        <w:t>ô</w:t>
      </w:r>
      <w:r>
        <w:rPr>
          <w:sz w:val="24"/>
          <w:szCs w:val="24"/>
          <w:rtl w:val="0"/>
          <w:lang w:val="fr-FR"/>
        </w:rPr>
        <w:t>le sur site par les services comp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en-US"/>
        </w:rPr>
        <w:t xml:space="preserve">tents (SPW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fr-FR"/>
        </w:rPr>
        <w:t>ARNE, fonctionnaire technique) afin de v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rifier le respect de l'ensemble des conditions du permis actuel pr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 xml:space="preserve">alablement </w:t>
      </w:r>
      <w:r>
        <w:rPr>
          <w:sz w:val="24"/>
          <w:szCs w:val="24"/>
          <w:rtl w:val="0"/>
        </w:rPr>
        <w:t xml:space="preserve">à </w:t>
      </w:r>
      <w:r>
        <w:rPr>
          <w:sz w:val="24"/>
          <w:szCs w:val="24"/>
          <w:rtl w:val="0"/>
          <w:lang w:val="fr-FR"/>
        </w:rPr>
        <w:t>toute d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cision de renouvellement ;</w:t>
      </w:r>
    </w:p>
    <w:p>
      <w:pPr>
        <w:pStyle w:val="List Paragraph"/>
        <w:numPr>
          <w:ilvl w:val="0"/>
          <w:numId w:val="2"/>
        </w:numPr>
        <w:spacing w:before="240" w:after="240"/>
        <w:jc w:val="both"/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>prendre en consid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 xml:space="preserve">ration l'avis de la CILE et des services de la Direction des Eaux souterraines (SPW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fr-FR"/>
        </w:rPr>
        <w:t>ARNE) quant aux risques pour les captages d'eau potable du 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blon.</w:t>
      </w:r>
    </w:p>
    <w:p>
      <w:pPr>
        <w:pStyle w:val="List Paragraph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Dans l'attente d'une d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cision conforme aux int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r</w:t>
      </w:r>
      <w:r>
        <w:rPr>
          <w:sz w:val="24"/>
          <w:szCs w:val="24"/>
          <w:rtl w:val="0"/>
        </w:rPr>
        <w:t>ê</w:t>
      </w:r>
      <w:r>
        <w:rPr>
          <w:sz w:val="24"/>
          <w:szCs w:val="24"/>
          <w:rtl w:val="0"/>
          <w:lang w:val="fr-FR"/>
        </w:rPr>
        <w:t>ts de la collectivit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fr-FR"/>
        </w:rPr>
        <w:t>et au cadre 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 xml:space="preserve">glementaire applicable, je reste </w:t>
      </w:r>
      <w:r>
        <w:rPr>
          <w:sz w:val="24"/>
          <w:szCs w:val="24"/>
          <w:rtl w:val="0"/>
        </w:rPr>
        <w:t xml:space="preserve">à </w:t>
      </w:r>
      <w:r>
        <w:rPr>
          <w:sz w:val="24"/>
          <w:szCs w:val="24"/>
          <w:rtl w:val="0"/>
          <w:lang w:val="fr-FR"/>
        </w:rPr>
        <w:t>votre disposition pour tout compl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ment d'information.</w:t>
      </w:r>
    </w:p>
    <w:p>
      <w:pPr>
        <w:pStyle w:val="List Paragraph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Veuillez agr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 xml:space="preserve">er, Madame la Bourgmestre, </w:t>
      </w:r>
      <w:r>
        <w:rPr>
          <w:sz w:val="24"/>
          <w:szCs w:val="24"/>
          <w:rtl w:val="0"/>
          <w:lang w:val="nl-NL"/>
        </w:rPr>
        <w:t xml:space="preserve">Madame et </w:t>
      </w:r>
      <w:r>
        <w:rPr>
          <w:sz w:val="24"/>
          <w:szCs w:val="24"/>
          <w:rtl w:val="0"/>
          <w:lang w:val="fr-FR"/>
        </w:rPr>
        <w:t xml:space="preserve">Messieurs les 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chevins, l'expression de mes salutations respectueuses.</w:t>
      </w:r>
    </w:p>
    <w:p>
      <w:pPr>
        <w:pStyle w:val="List Paragraph"/>
        <w:spacing w:before="240" w:after="240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nl-NL"/>
        </w:rPr>
        <w:t>Signature</w:t>
      </w:r>
    </w:p>
    <w:p>
      <w:pPr>
        <w:pStyle w:val="List Paragraph"/>
        <w:spacing w:before="240" w:after="240"/>
        <w:jc w:val="both"/>
      </w:pPr>
      <w:r>
        <w:rPr>
          <w:rStyle w:val="Aucun"/>
          <w:i w:val="1"/>
          <w:iCs w:val="1"/>
          <w:sz w:val="24"/>
          <w:szCs w:val="24"/>
          <w:u w:color="555555"/>
          <w:rtl w:val="0"/>
        </w:rPr>
        <w:t>R</w:t>
      </w:r>
      <w:r>
        <w:rPr>
          <w:rStyle w:val="Aucun"/>
          <w:i w:val="1"/>
          <w:iCs w:val="1"/>
          <w:sz w:val="24"/>
          <w:szCs w:val="24"/>
          <w:u w:color="555555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u w:color="555555"/>
          <w:rtl w:val="0"/>
        </w:rPr>
        <w:t>f</w:t>
      </w:r>
      <w:r>
        <w:rPr>
          <w:rStyle w:val="Aucun"/>
          <w:i w:val="1"/>
          <w:iCs w:val="1"/>
          <w:sz w:val="24"/>
          <w:szCs w:val="24"/>
          <w:u w:color="555555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u w:color="555555"/>
          <w:rtl w:val="0"/>
          <w:lang w:val="fr-FR"/>
        </w:rPr>
        <w:t>rences l</w:t>
      </w:r>
      <w:r>
        <w:rPr>
          <w:rStyle w:val="Aucun"/>
          <w:i w:val="1"/>
          <w:iCs w:val="1"/>
          <w:sz w:val="24"/>
          <w:szCs w:val="24"/>
          <w:u w:color="555555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u w:color="555555"/>
          <w:rtl w:val="0"/>
          <w:lang w:val="fr-FR"/>
        </w:rPr>
        <w:t>gales mobilis</w:t>
      </w:r>
      <w:r>
        <w:rPr>
          <w:rStyle w:val="Aucun"/>
          <w:i w:val="1"/>
          <w:iCs w:val="1"/>
          <w:sz w:val="24"/>
          <w:szCs w:val="24"/>
          <w:u w:color="555555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u w:color="555555"/>
          <w:rtl w:val="0"/>
          <w:lang w:val="fr-FR"/>
        </w:rPr>
        <w:t>es : D</w:t>
      </w:r>
      <w:r>
        <w:rPr>
          <w:rStyle w:val="Aucun"/>
          <w:i w:val="1"/>
          <w:iCs w:val="1"/>
          <w:sz w:val="24"/>
          <w:szCs w:val="24"/>
          <w:u w:color="555555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u w:color="555555"/>
          <w:rtl w:val="0"/>
          <w:lang w:val="fr-FR"/>
        </w:rPr>
        <w:t>cret du 11 mars 1999 relatif au permis d'environnement ; Code wallon du D</w:t>
      </w:r>
      <w:r>
        <w:rPr>
          <w:rStyle w:val="Aucun"/>
          <w:i w:val="1"/>
          <w:iCs w:val="1"/>
          <w:sz w:val="24"/>
          <w:szCs w:val="24"/>
          <w:u w:color="555555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u w:color="555555"/>
          <w:rtl w:val="0"/>
          <w:lang w:val="fr-FR"/>
        </w:rPr>
        <w:t>veloppement Territorial (CoDT) ; D</w:t>
      </w:r>
      <w:r>
        <w:rPr>
          <w:rStyle w:val="Aucun"/>
          <w:i w:val="1"/>
          <w:iCs w:val="1"/>
          <w:sz w:val="24"/>
          <w:szCs w:val="24"/>
          <w:u w:color="555555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u w:color="555555"/>
          <w:rtl w:val="0"/>
          <w:lang w:val="fr-FR"/>
        </w:rPr>
        <w:t>cret du 27 mars 2014 relatif au Code de l'Eau (art. 3, 13 et s. sur les prises d'eau souterraine ; art. 129 sur les zones de prise d'eau) ; AGW du 12 f</w:t>
      </w:r>
      <w:r>
        <w:rPr>
          <w:rStyle w:val="Aucun"/>
          <w:i w:val="1"/>
          <w:iCs w:val="1"/>
          <w:sz w:val="24"/>
          <w:szCs w:val="24"/>
          <w:u w:color="555555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u w:color="555555"/>
          <w:rtl w:val="0"/>
          <w:lang w:val="fr-FR"/>
        </w:rPr>
        <w:t>vrier 2009 relatif aux zones de prise d'eau, de pr</w:t>
      </w:r>
      <w:r>
        <w:rPr>
          <w:rStyle w:val="Aucun"/>
          <w:i w:val="1"/>
          <w:iCs w:val="1"/>
          <w:sz w:val="24"/>
          <w:szCs w:val="24"/>
          <w:u w:color="555555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u w:color="555555"/>
          <w:rtl w:val="0"/>
          <w:lang w:val="fr-FR"/>
        </w:rPr>
        <w:t>vention et de surveillance ; L</w:t>
      </w:r>
      <w:r>
        <w:rPr>
          <w:rStyle w:val="Aucun"/>
          <w:i w:val="1"/>
          <w:iCs w:val="1"/>
          <w:sz w:val="24"/>
          <w:szCs w:val="24"/>
          <w:u w:color="555555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u w:color="555555"/>
          <w:rtl w:val="0"/>
          <w:lang w:val="fr-FR"/>
        </w:rPr>
        <w:t>gislation sur la protection des captages (zones de pr</w:t>
      </w:r>
      <w:r>
        <w:rPr>
          <w:rStyle w:val="Aucun"/>
          <w:i w:val="1"/>
          <w:iCs w:val="1"/>
          <w:sz w:val="24"/>
          <w:szCs w:val="24"/>
          <w:u w:color="555555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u w:color="555555"/>
          <w:rtl w:val="0"/>
          <w:lang w:val="fr-FR"/>
        </w:rPr>
        <w:t>vention) ; R</w:t>
      </w:r>
      <w:r>
        <w:rPr>
          <w:rStyle w:val="Aucun"/>
          <w:i w:val="1"/>
          <w:iCs w:val="1"/>
          <w:sz w:val="24"/>
          <w:szCs w:val="24"/>
          <w:u w:color="555555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u w:color="555555"/>
          <w:rtl w:val="0"/>
          <w:lang w:val="fr-FR"/>
        </w:rPr>
        <w:t>glementation relative au bien-</w:t>
      </w:r>
      <w:r>
        <w:rPr>
          <w:rStyle w:val="Aucun"/>
          <w:i w:val="1"/>
          <w:iCs w:val="1"/>
          <w:sz w:val="24"/>
          <w:szCs w:val="24"/>
          <w:u w:color="555555"/>
          <w:rtl w:val="0"/>
        </w:rPr>
        <w:t>ê</w:t>
      </w:r>
      <w:r>
        <w:rPr>
          <w:rStyle w:val="Aucun"/>
          <w:i w:val="1"/>
          <w:iCs w:val="1"/>
          <w:sz w:val="24"/>
          <w:szCs w:val="24"/>
          <w:u w:color="555555"/>
          <w:rtl w:val="0"/>
          <w:lang w:val="fr-FR"/>
        </w:rPr>
        <w:t>tre des animaux d'</w:t>
      </w:r>
      <w:r>
        <w:rPr>
          <w:rStyle w:val="Aucun"/>
          <w:i w:val="1"/>
          <w:iCs w:val="1"/>
          <w:sz w:val="24"/>
          <w:szCs w:val="24"/>
          <w:u w:color="555555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u w:color="555555"/>
          <w:rtl w:val="0"/>
          <w:lang w:val="it-IT"/>
        </w:rPr>
        <w:t>levage.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–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–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–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–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–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–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–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–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–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 2">
    <w:name w:val="Titre 2"/>
    <w:next w:val="Titr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80" w:after="140" w:line="240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1f3864"/>
      <w:spacing w:val="0"/>
      <w:kern w:val="0"/>
      <w:position w:val="0"/>
      <w:sz w:val="26"/>
      <w:szCs w:val="26"/>
      <w:u w:val="none" w:color="1f3864"/>
      <w:shd w:val="nil" w:color="auto" w:fill="auto"/>
      <w:vertAlign w:val="baseline"/>
      <w:lang w:val="fr-FR"/>
      <w14:textOutline>
        <w14:noFill/>
      </w14:textOutline>
      <w14:textFill>
        <w14:solidFill>
          <w14:srgbClr w14:val="1F3864"/>
        </w14:solidFill>
      </w14:textFill>
    </w:rPr>
  </w:style>
  <w:style w:type="character" w:styleId="Aucun">
    <w:name w:val="Aucun"/>
    <w:rPr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